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A104B3">
      <w:pPr>
        <w:adjustRightInd w:val="0"/>
        <w:snapToGrid w:val="0"/>
        <w:spacing w:line="560" w:lineRule="exact"/>
        <w:rPr>
          <w:rFonts w:hint="eastAsia" w:ascii="黑体" w:hAnsi="黑体" w:eastAsia="黑体" w:cs="黑体"/>
          <w:bCs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附件1</w:t>
      </w: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：</w:t>
      </w:r>
    </w:p>
    <w:p w14:paraId="2496EC65">
      <w:pPr>
        <w:spacing w:line="560" w:lineRule="exact"/>
        <w:jc w:val="center"/>
        <w:rPr>
          <w:rFonts w:eastAsia="方正小标宋简体"/>
          <w:bCs/>
          <w:sz w:val="36"/>
          <w:szCs w:val="36"/>
        </w:rPr>
      </w:pPr>
    </w:p>
    <w:p w14:paraId="7A88176C">
      <w:pPr>
        <w:spacing w:line="560" w:lineRule="exact"/>
        <w:ind w:firstLine="720" w:firstLineChars="200"/>
        <w:jc w:val="center"/>
        <w:rPr>
          <w:rFonts w:hint="eastAsia" w:eastAsia="方正小标宋简体"/>
          <w:bCs/>
          <w:sz w:val="36"/>
          <w:szCs w:val="36"/>
        </w:rPr>
      </w:pPr>
      <w:r>
        <w:rPr>
          <w:rFonts w:hint="eastAsia" w:eastAsia="方正小标宋简体"/>
          <w:bCs/>
          <w:sz w:val="36"/>
          <w:szCs w:val="36"/>
        </w:rPr>
        <w:t>202</w:t>
      </w:r>
      <w:r>
        <w:rPr>
          <w:rFonts w:hint="eastAsia" w:eastAsia="方正小标宋简体"/>
          <w:bCs/>
          <w:sz w:val="36"/>
          <w:szCs w:val="36"/>
          <w:lang w:val="en-US" w:eastAsia="zh-CN"/>
        </w:rPr>
        <w:t>5</w:t>
      </w:r>
      <w:r>
        <w:rPr>
          <w:rFonts w:hint="eastAsia" w:eastAsia="方正小标宋简体"/>
          <w:bCs/>
          <w:sz w:val="36"/>
          <w:szCs w:val="36"/>
        </w:rPr>
        <w:t>年度安徽省</w:t>
      </w:r>
      <w:r>
        <w:rPr>
          <w:rFonts w:hint="eastAsia" w:eastAsia="方正小标宋简体"/>
          <w:bCs/>
          <w:sz w:val="36"/>
          <w:szCs w:val="36"/>
          <w:lang w:val="en-US" w:eastAsia="zh-CN"/>
        </w:rPr>
        <w:t>高校</w:t>
      </w:r>
      <w:r>
        <w:rPr>
          <w:rFonts w:hint="eastAsia" w:eastAsia="方正小标宋简体"/>
          <w:bCs/>
          <w:sz w:val="36"/>
          <w:szCs w:val="36"/>
        </w:rPr>
        <w:t>思想政治工作创新发展中心</w:t>
      </w:r>
    </w:p>
    <w:p w14:paraId="41BEF333">
      <w:pPr>
        <w:spacing w:line="560" w:lineRule="exact"/>
        <w:ind w:firstLine="720" w:firstLineChars="200"/>
        <w:jc w:val="center"/>
        <w:rPr>
          <w:rFonts w:hint="eastAsia" w:eastAsia="方正小标宋简体"/>
          <w:bCs/>
          <w:sz w:val="36"/>
          <w:szCs w:val="36"/>
        </w:rPr>
      </w:pPr>
      <w:r>
        <w:rPr>
          <w:rFonts w:hint="eastAsia" w:eastAsia="方正小标宋简体"/>
          <w:bCs/>
          <w:sz w:val="36"/>
          <w:szCs w:val="36"/>
        </w:rPr>
        <w:t>课题</w:t>
      </w:r>
      <w:r>
        <w:rPr>
          <w:rFonts w:hint="eastAsia" w:eastAsia="方正小标宋简体"/>
          <w:bCs/>
          <w:sz w:val="36"/>
          <w:szCs w:val="36"/>
          <w:lang w:val="en-US" w:eastAsia="zh-CN"/>
        </w:rPr>
        <w:t>选题</w:t>
      </w:r>
      <w:r>
        <w:rPr>
          <w:rFonts w:hint="eastAsia" w:eastAsia="方正小标宋简体"/>
          <w:bCs/>
          <w:sz w:val="36"/>
          <w:szCs w:val="36"/>
        </w:rPr>
        <w:t>指南</w:t>
      </w:r>
    </w:p>
    <w:p w14:paraId="74A0A04E">
      <w:pPr>
        <w:spacing w:line="560" w:lineRule="exact"/>
        <w:ind w:firstLine="720" w:firstLineChars="200"/>
        <w:jc w:val="center"/>
        <w:rPr>
          <w:rFonts w:hint="eastAsia" w:eastAsia="方正小标宋简体"/>
          <w:bCs/>
          <w:sz w:val="36"/>
          <w:szCs w:val="36"/>
        </w:rPr>
      </w:pPr>
    </w:p>
    <w:p w14:paraId="6FDC2D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1.习近平总书记关于高校思想政治工作的重要论述研究</w:t>
      </w:r>
    </w:p>
    <w:p w14:paraId="3BA1A4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2.习近平总书记考察安徽重要讲话精神融入高校思想政治工作研究</w:t>
      </w:r>
    </w:p>
    <w:p w14:paraId="41655E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.徽州文化保护传承及利用研究</w:t>
      </w:r>
    </w:p>
    <w:p w14:paraId="160F35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.长江文化保护传承及利用研究</w:t>
      </w:r>
    </w:p>
    <w:p w14:paraId="41508F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.淮河文化保护传承及利用研究</w:t>
      </w:r>
    </w:p>
    <w:p w14:paraId="3B37D9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.大运河文化保护传承及利用研究</w:t>
      </w:r>
    </w:p>
    <w:p w14:paraId="06E196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.黄梅戏文化保护传承及利用研究</w:t>
      </w:r>
    </w:p>
    <w:p w14:paraId="392840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高校思政引领力强化路径研究</w:t>
      </w:r>
    </w:p>
    <w:p w14:paraId="4F4F22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高校思政课实践教学的优化路径研究</w:t>
      </w:r>
    </w:p>
    <w:p w14:paraId="72551D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大中小学思</w:t>
      </w:r>
      <w:bookmarkStart w:id="0" w:name="_GoBack"/>
      <w:bookmarkEnd w:id="0"/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想政治教育一体化工作路径研究</w:t>
      </w:r>
    </w:p>
    <w:p w14:paraId="15A9EA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.大数据赋能高校思想政治工作研究</w:t>
      </w:r>
    </w:p>
    <w:p w14:paraId="3A8D09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.高校教师思想政治素养评价体系的构建与应用研究</w:t>
      </w:r>
    </w:p>
    <w:p w14:paraId="669D3B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13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.高校青年教师的教育引导和服务体系构建研究</w:t>
      </w:r>
    </w:p>
    <w:p w14:paraId="73C024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14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.高校思政课教师“六要”素养提升路径研究</w:t>
      </w:r>
    </w:p>
    <w:p w14:paraId="1B650D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15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.研究生导师立德树人考核评价体系构建研究</w:t>
      </w:r>
    </w:p>
    <w:p w14:paraId="54C9E661">
      <w:pPr>
        <w:pStyle w:val="16"/>
        <w:keepNext w:val="0"/>
        <w:keepLines w:val="0"/>
        <w:pageBreakBefore w:val="0"/>
        <w:widowControl w:val="0"/>
        <w:tabs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16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.高校师德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师风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建设常态化长效化机制研究</w:t>
      </w:r>
    </w:p>
    <w:p w14:paraId="262473DA">
      <w:pPr>
        <w:pStyle w:val="16"/>
        <w:keepNext w:val="0"/>
        <w:keepLines w:val="0"/>
        <w:pageBreakBefore w:val="0"/>
        <w:widowControl w:val="0"/>
        <w:tabs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17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.高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校二级院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系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师德师风建设工作责任落实情况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研究</w:t>
      </w:r>
    </w:p>
    <w:p w14:paraId="7054BAC7">
      <w:pPr>
        <w:pStyle w:val="16"/>
        <w:keepNext w:val="0"/>
        <w:keepLines w:val="0"/>
        <w:pageBreakBefore w:val="0"/>
        <w:widowControl w:val="0"/>
        <w:tabs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18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高校教师评价改革实施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现状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与优化路径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研究</w:t>
      </w:r>
    </w:p>
    <w:p w14:paraId="550DA92A">
      <w:pPr>
        <w:pStyle w:val="16"/>
        <w:keepNext w:val="0"/>
        <w:keepLines w:val="0"/>
        <w:pageBreakBefore w:val="0"/>
        <w:widowControl w:val="0"/>
        <w:tabs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19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.高校建立健全国家安全教育长效机制研究</w:t>
      </w:r>
    </w:p>
    <w:p w14:paraId="67732FBC">
      <w:pPr>
        <w:pStyle w:val="16"/>
        <w:keepNext w:val="0"/>
        <w:keepLines w:val="0"/>
        <w:pageBreakBefore w:val="0"/>
        <w:widowControl w:val="0"/>
        <w:tabs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20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.安徽省“高校思想政治理论课教师队伍后备人才培养专项支持计划”实施效能研究</w:t>
      </w:r>
    </w:p>
    <w:p w14:paraId="734A774D">
      <w:pPr>
        <w:pStyle w:val="16"/>
        <w:keepNext w:val="0"/>
        <w:keepLines w:val="0"/>
        <w:pageBreakBefore w:val="0"/>
        <w:widowControl w:val="0"/>
        <w:tabs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21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.安徽省高校青年思政课教师职业发展研究</w:t>
      </w:r>
    </w:p>
    <w:p w14:paraId="55E505BB">
      <w:pPr>
        <w:pStyle w:val="16"/>
        <w:keepNext w:val="0"/>
        <w:keepLines w:val="0"/>
        <w:pageBreakBefore w:val="0"/>
        <w:widowControl w:val="0"/>
        <w:tabs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22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.安徽省高校辅导员专业成长叙事研究</w:t>
      </w:r>
    </w:p>
    <w:p w14:paraId="5648A429">
      <w:pPr>
        <w:pStyle w:val="16"/>
        <w:keepNext w:val="0"/>
        <w:keepLines w:val="0"/>
        <w:pageBreakBefore w:val="0"/>
        <w:widowControl w:val="0"/>
        <w:tabs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23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.安徽省高校校外辅导员选聘和管理机制研究</w:t>
      </w:r>
    </w:p>
    <w:p w14:paraId="26C9EB8A">
      <w:pPr>
        <w:pStyle w:val="16"/>
        <w:keepNext w:val="0"/>
        <w:keepLines w:val="0"/>
        <w:pageBreakBefore w:val="0"/>
        <w:widowControl w:val="0"/>
        <w:tabs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24.安徽省高校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辅导员岗位设置现状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及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优化路径研究</w:t>
      </w:r>
    </w:p>
    <w:p w14:paraId="27827124">
      <w:pPr>
        <w:pStyle w:val="16"/>
        <w:keepNext w:val="0"/>
        <w:keepLines w:val="0"/>
        <w:pageBreakBefore w:val="0"/>
        <w:widowControl w:val="0"/>
        <w:tabs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25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.安徽省高校思政课程建设现状与优化策略研究</w:t>
      </w:r>
    </w:p>
    <w:p w14:paraId="7D79BCFD">
      <w:pPr>
        <w:pStyle w:val="16"/>
        <w:keepNext w:val="0"/>
        <w:keepLines w:val="0"/>
        <w:pageBreakBefore w:val="0"/>
        <w:widowControl w:val="0"/>
        <w:tabs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26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.安徽省高校课程思政建设现状与优化策略研究</w:t>
      </w:r>
    </w:p>
    <w:p w14:paraId="1D46CA56">
      <w:pPr>
        <w:pStyle w:val="16"/>
        <w:keepNext w:val="0"/>
        <w:keepLines w:val="0"/>
        <w:pageBreakBefore w:val="0"/>
        <w:widowControl w:val="0"/>
        <w:tabs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27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.安徽省高校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网络育人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优化策略研究</w:t>
      </w:r>
    </w:p>
    <w:p w14:paraId="641993F5">
      <w:pPr>
        <w:pStyle w:val="16"/>
        <w:keepNext w:val="0"/>
        <w:keepLines w:val="0"/>
        <w:pageBreakBefore w:val="0"/>
        <w:widowControl w:val="0"/>
        <w:tabs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28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.安徽省高校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实践育人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优化策略研究</w:t>
      </w:r>
    </w:p>
    <w:p w14:paraId="5D0D98BA">
      <w:pPr>
        <w:pStyle w:val="16"/>
        <w:keepNext w:val="0"/>
        <w:keepLines w:val="0"/>
        <w:pageBreakBefore w:val="0"/>
        <w:widowControl w:val="0"/>
        <w:tabs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29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.安徽省大中小学思政课一体化建设现状与优化路径研究</w:t>
      </w:r>
    </w:p>
    <w:p w14:paraId="36D9B7D3">
      <w:pPr>
        <w:pStyle w:val="16"/>
        <w:keepNext w:val="0"/>
        <w:keepLines w:val="0"/>
        <w:pageBreakBefore w:val="0"/>
        <w:widowControl w:val="0"/>
        <w:tabs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3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.安徽省高校思想政治理论课资源平台建设策略研究</w:t>
      </w:r>
    </w:p>
    <w:p w14:paraId="209FC7D1">
      <w:pPr>
        <w:pStyle w:val="16"/>
        <w:keepNext w:val="0"/>
        <w:keepLines w:val="0"/>
        <w:pageBreakBefore w:val="0"/>
        <w:widowControl w:val="0"/>
        <w:tabs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31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.安徽省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“大思政课”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建设现状与优化路径研究</w:t>
      </w:r>
    </w:p>
    <w:p w14:paraId="5A6E573A">
      <w:pPr>
        <w:pStyle w:val="16"/>
        <w:keepNext w:val="0"/>
        <w:keepLines w:val="0"/>
        <w:pageBreakBefore w:val="0"/>
        <w:widowControl w:val="0"/>
        <w:tabs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32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.安徽省“三全育人”思想政治工作体系创新研究</w:t>
      </w:r>
    </w:p>
    <w:p w14:paraId="4D3F0033"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33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.安徽省高校思想政治教育工作面临的困境和对策研究</w:t>
      </w:r>
    </w:p>
    <w:p w14:paraId="37E15B5E"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34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.安徽省高校推进“一站式”学生社区建设机制研究</w:t>
      </w:r>
    </w:p>
    <w:p w14:paraId="6BEAAF7B"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35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.安徽省高校青年马克思主义者培养工程实施研究</w:t>
      </w:r>
    </w:p>
    <w:p w14:paraId="2C8758C0"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36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.安徽省高校先进典型宣传选树工作质效研究</w:t>
      </w:r>
    </w:p>
    <w:p w14:paraId="09A7429C"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37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.安徽省高校文明校园创建活动现状与优化策略研究</w:t>
      </w:r>
    </w:p>
    <w:p w14:paraId="38F39CFC"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38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.安徽省高校网络思政工作现状与优化策略研究</w:t>
      </w:r>
    </w:p>
    <w:p w14:paraId="04B9F7F7"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39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.安徽省高校思政类新媒体平台建设策略研究</w:t>
      </w:r>
    </w:p>
    <w:p w14:paraId="275A0CF4"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40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.安徽省高校大学生心理问题早期发现和科学干预研究</w:t>
      </w:r>
    </w:p>
    <w:p w14:paraId="49763060"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41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.安徽省高校学生社团建设现状与优化策略研究</w:t>
      </w:r>
    </w:p>
    <w:p w14:paraId="57D622A0"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42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.安徽省高校校园及周边治安综合治理机制构建和完善研究</w:t>
      </w:r>
    </w:p>
    <w:p w14:paraId="1CA4B283"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43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.安徽省高校构建学校、家庭和社会教育协同育人机制研究</w:t>
      </w:r>
    </w:p>
    <w:p w14:paraId="175EC76A"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44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.安徽省高校意识形态工作责任制落实成效与优化研究</w:t>
      </w:r>
    </w:p>
    <w:p w14:paraId="1C1AAF16"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45.安徽省高校学生思想政治状况调查分析研究</w:t>
      </w:r>
    </w:p>
    <w:p w14:paraId="16739A4D">
      <w:pPr>
        <w:pStyle w:val="16"/>
        <w:tabs>
          <w:tab w:val="left" w:pos="420"/>
        </w:tabs>
        <w:spacing w:line="560" w:lineRule="exact"/>
        <w:ind w:left="0" w:firstLine="560" w:firstLineChars="200"/>
        <w:rPr>
          <w:rFonts w:hint="eastAsia" w:ascii="宋体" w:hAnsi="宋体" w:eastAsia="宋体" w:cs="宋体"/>
          <w:color w:val="000000"/>
          <w:sz w:val="28"/>
          <w:szCs w:val="28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985" w:right="1531" w:bottom="1985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9F55BE0-99B9-4F53-A43E-367AF3E8BC7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